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C7B7" w14:textId="77777777" w:rsidR="005B55E7" w:rsidRPr="005B55E7" w:rsidRDefault="005B55E7" w:rsidP="005B55E7">
      <w:pPr>
        <w:shd w:val="clear" w:color="auto" w:fill="FFFFFF"/>
        <w:spacing w:before="570" w:after="173" w:line="240" w:lineRule="auto"/>
        <w:outlineLvl w:val="1"/>
        <w:rPr>
          <w:rFonts w:ascii="Lato" w:eastAsia="Times New Roman" w:hAnsi="Lato" w:cs="Times New Roman"/>
          <w:b/>
          <w:bCs/>
          <w:color w:val="333333"/>
          <w:kern w:val="0"/>
          <w:sz w:val="43"/>
          <w:szCs w:val="43"/>
          <w:lang w:eastAsia="fr-CM"/>
          <w14:ligatures w14:val="none"/>
        </w:rPr>
      </w:pPr>
      <w:r w:rsidRPr="005B55E7">
        <w:rPr>
          <w:rFonts w:ascii="Lato" w:eastAsia="Times New Roman" w:hAnsi="Lato" w:cs="Times New Roman"/>
          <w:b/>
          <w:bCs/>
          <w:color w:val="333333"/>
          <w:kern w:val="0"/>
          <w:sz w:val="43"/>
          <w:szCs w:val="43"/>
          <w:lang w:eastAsia="fr-CM"/>
          <w14:ligatures w14:val="none"/>
        </w:rPr>
        <w:t>Mise à jour de 2023 des Principes directeurs de l’OCDE</w:t>
      </w:r>
    </w:p>
    <w:p w14:paraId="2F4C609E"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 xml:space="preserve">Les Principes directeurs de l’OCDE ont été périodiquement mis à jour depuis leur adoption en 1976. Publiée le 8 juin, la mise à jour de </w:t>
      </w:r>
      <w:proofErr w:type="gramStart"/>
      <w:r w:rsidRPr="005B55E7">
        <w:rPr>
          <w:rFonts w:ascii="Noto Sans" w:eastAsia="Times New Roman" w:hAnsi="Noto Sans" w:cs="Noto Sans"/>
          <w:color w:val="333333"/>
          <w:kern w:val="0"/>
          <w:sz w:val="30"/>
          <w:szCs w:val="30"/>
          <w:lang w:eastAsia="fr-CM"/>
          <w14:ligatures w14:val="none"/>
        </w:rPr>
        <w:t>2023  est</w:t>
      </w:r>
      <w:proofErr w:type="gramEnd"/>
      <w:r w:rsidRPr="005B55E7">
        <w:rPr>
          <w:rFonts w:ascii="Noto Sans" w:eastAsia="Times New Roman" w:hAnsi="Noto Sans" w:cs="Noto Sans"/>
          <w:color w:val="333333"/>
          <w:kern w:val="0"/>
          <w:sz w:val="30"/>
          <w:szCs w:val="30"/>
          <w:lang w:eastAsia="fr-CM"/>
          <w14:ligatures w14:val="none"/>
        </w:rPr>
        <w:t xml:space="preserve"> la première mise à jour des Principes directeurs depuis 2011.</w:t>
      </w:r>
    </w:p>
    <w:p w14:paraId="20235C86"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Les mises à jour 2023 visent à garantir que les Principes directeurs restent pertinents et adaptés alors que les entreprises et les sociétés font face à une gamme de priorités et de défis sociaux, environnementaux et technologiques en constante évolution.</w:t>
      </w:r>
    </w:p>
    <w:p w14:paraId="07A15354"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Les mises à jour comprennent :</w:t>
      </w:r>
    </w:p>
    <w:p w14:paraId="53067E67"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des</w:t>
      </w:r>
      <w:proofErr w:type="gramEnd"/>
      <w:r w:rsidRPr="005B55E7">
        <w:rPr>
          <w:rFonts w:ascii="Noto Sans" w:eastAsia="Times New Roman" w:hAnsi="Noto Sans" w:cs="Noto Sans"/>
          <w:color w:val="333333"/>
          <w:kern w:val="0"/>
          <w:sz w:val="30"/>
          <w:szCs w:val="30"/>
          <w:lang w:eastAsia="fr-CM"/>
          <w14:ligatures w14:val="none"/>
        </w:rPr>
        <w:t xml:space="preserve"> recommandations aux entreprises pour qu’elles s’alignent sur les objectifs convenus à l’échelle internationale en matière de changements climatiques et de biodiversité;</w:t>
      </w:r>
    </w:p>
    <w:p w14:paraId="3B2C1ACC"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des</w:t>
      </w:r>
      <w:proofErr w:type="gramEnd"/>
      <w:r w:rsidRPr="005B55E7">
        <w:rPr>
          <w:rFonts w:ascii="Noto Sans" w:eastAsia="Times New Roman" w:hAnsi="Noto Sans" w:cs="Noto Sans"/>
          <w:color w:val="333333"/>
          <w:kern w:val="0"/>
          <w:sz w:val="30"/>
          <w:szCs w:val="30"/>
          <w:lang w:eastAsia="fr-CM"/>
          <w14:ligatures w14:val="none"/>
        </w:rPr>
        <w:t xml:space="preserve"> recommandations actualisées sur l’exercice du devoir de diligence concernant les impacts et les relations commerciales liés à l’utilisation des produits et services des entreprises;</w:t>
      </w:r>
    </w:p>
    <w:p w14:paraId="260CD4BC"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des</w:t>
      </w:r>
      <w:proofErr w:type="gramEnd"/>
      <w:r w:rsidRPr="005B55E7">
        <w:rPr>
          <w:rFonts w:ascii="Noto Sans" w:eastAsia="Times New Roman" w:hAnsi="Noto Sans" w:cs="Noto Sans"/>
          <w:color w:val="333333"/>
          <w:kern w:val="0"/>
          <w:sz w:val="30"/>
          <w:szCs w:val="30"/>
          <w:lang w:eastAsia="fr-CM"/>
          <w14:ligatures w14:val="none"/>
        </w:rPr>
        <w:t xml:space="preserve"> appels renforcés à la protection des personnes et des groupes à risque;</w:t>
      </w:r>
    </w:p>
    <w:p w14:paraId="5549F4DB"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une</w:t>
      </w:r>
      <w:proofErr w:type="gramEnd"/>
      <w:r w:rsidRPr="005B55E7">
        <w:rPr>
          <w:rFonts w:ascii="Noto Sans" w:eastAsia="Times New Roman" w:hAnsi="Noto Sans" w:cs="Noto Sans"/>
          <w:color w:val="333333"/>
          <w:kern w:val="0"/>
          <w:sz w:val="30"/>
          <w:szCs w:val="30"/>
          <w:lang w:eastAsia="fr-CM"/>
          <w14:ligatures w14:val="none"/>
        </w:rPr>
        <w:t xml:space="preserve"> plus grande reconnaissance des droits des peuples autochtones;</w:t>
      </w:r>
    </w:p>
    <w:p w14:paraId="1143571E"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des</w:t>
      </w:r>
      <w:proofErr w:type="gramEnd"/>
      <w:r w:rsidRPr="005B55E7">
        <w:rPr>
          <w:rFonts w:ascii="Noto Sans" w:eastAsia="Times New Roman" w:hAnsi="Noto Sans" w:cs="Noto Sans"/>
          <w:color w:val="333333"/>
          <w:kern w:val="0"/>
          <w:sz w:val="30"/>
          <w:szCs w:val="30"/>
          <w:lang w:eastAsia="fr-CM"/>
          <w14:ligatures w14:val="none"/>
        </w:rPr>
        <w:t xml:space="preserve"> recommandations actualisées relatives à la divulgation de renseignements sur la CRE;</w:t>
      </w:r>
    </w:p>
    <w:p w14:paraId="5F71E068"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un</w:t>
      </w:r>
      <w:proofErr w:type="gramEnd"/>
      <w:r w:rsidRPr="005B55E7">
        <w:rPr>
          <w:rFonts w:ascii="Noto Sans" w:eastAsia="Times New Roman" w:hAnsi="Noto Sans" w:cs="Noto Sans"/>
          <w:color w:val="333333"/>
          <w:kern w:val="0"/>
          <w:sz w:val="30"/>
          <w:szCs w:val="30"/>
          <w:lang w:eastAsia="fr-CM"/>
          <w14:ligatures w14:val="none"/>
        </w:rPr>
        <w:t xml:space="preserve"> élargissement des recommandations en matière de devoir de diligence à toutes les formes de corruption;</w:t>
      </w:r>
    </w:p>
    <w:p w14:paraId="2EBACCB3"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un</w:t>
      </w:r>
      <w:proofErr w:type="gramEnd"/>
      <w:r w:rsidRPr="005B55E7">
        <w:rPr>
          <w:rFonts w:ascii="Noto Sans" w:eastAsia="Times New Roman" w:hAnsi="Noto Sans" w:cs="Noto Sans"/>
          <w:color w:val="333333"/>
          <w:kern w:val="0"/>
          <w:sz w:val="30"/>
          <w:szCs w:val="30"/>
          <w:lang w:eastAsia="fr-CM"/>
          <w14:ligatures w14:val="none"/>
        </w:rPr>
        <w:t xml:space="preserve"> chapitre actualisé sur la science, la technologie et l’innovation, y compris des attentes en matière de devoir </w:t>
      </w:r>
      <w:r w:rsidRPr="005B55E7">
        <w:rPr>
          <w:rFonts w:ascii="Noto Sans" w:eastAsia="Times New Roman" w:hAnsi="Noto Sans" w:cs="Noto Sans"/>
          <w:color w:val="333333"/>
          <w:kern w:val="0"/>
          <w:sz w:val="30"/>
          <w:szCs w:val="30"/>
          <w:lang w:eastAsia="fr-CM"/>
          <w14:ligatures w14:val="none"/>
        </w:rPr>
        <w:lastRenderedPageBreak/>
        <w:t>de diligence liées au développement et à l’utilisation de la technologie;</w:t>
      </w:r>
    </w:p>
    <w:p w14:paraId="4F4BBD7A" w14:textId="77777777" w:rsidR="005B55E7" w:rsidRPr="005B55E7" w:rsidRDefault="005B55E7" w:rsidP="005B55E7">
      <w:pPr>
        <w:numPr>
          <w:ilvl w:val="0"/>
          <w:numId w:val="1"/>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des</w:t>
      </w:r>
      <w:proofErr w:type="gramEnd"/>
      <w:r w:rsidRPr="005B55E7">
        <w:rPr>
          <w:rFonts w:ascii="Noto Sans" w:eastAsia="Times New Roman" w:hAnsi="Noto Sans" w:cs="Noto Sans"/>
          <w:color w:val="333333"/>
          <w:kern w:val="0"/>
          <w:sz w:val="30"/>
          <w:szCs w:val="30"/>
          <w:lang w:eastAsia="fr-CM"/>
          <w14:ligatures w14:val="none"/>
        </w:rPr>
        <w:t xml:space="preserve"> procédures actualisées visant à promouvoir un réseau mondial efficace de points de contact nationaux.</w:t>
      </w:r>
    </w:p>
    <w:p w14:paraId="27B0D1FB" w14:textId="77777777" w:rsidR="005B55E7" w:rsidRPr="005B55E7" w:rsidRDefault="005B55E7" w:rsidP="005B55E7">
      <w:pPr>
        <w:shd w:val="clear" w:color="auto" w:fill="FFFFFF"/>
        <w:spacing w:before="570" w:after="173" w:line="240" w:lineRule="auto"/>
        <w:outlineLvl w:val="1"/>
        <w:rPr>
          <w:rFonts w:ascii="Lato" w:eastAsia="Times New Roman" w:hAnsi="Lato" w:cs="Times New Roman"/>
          <w:b/>
          <w:bCs/>
          <w:color w:val="333333"/>
          <w:kern w:val="0"/>
          <w:sz w:val="43"/>
          <w:szCs w:val="43"/>
          <w:lang w:eastAsia="fr-CM"/>
          <w14:ligatures w14:val="none"/>
        </w:rPr>
      </w:pPr>
      <w:r w:rsidRPr="005B55E7">
        <w:rPr>
          <w:rFonts w:ascii="Lato" w:eastAsia="Times New Roman" w:hAnsi="Lato" w:cs="Times New Roman"/>
          <w:b/>
          <w:bCs/>
          <w:color w:val="333333"/>
          <w:kern w:val="0"/>
          <w:sz w:val="43"/>
          <w:szCs w:val="43"/>
          <w:lang w:eastAsia="fr-CM"/>
          <w14:ligatures w14:val="none"/>
        </w:rPr>
        <w:t>Guide de l’OCDE sur le devoir de diligence</w:t>
      </w:r>
    </w:p>
    <w:p w14:paraId="457449CC"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Le devoir de diligence est un processus que les entreprises mettent en œuvre pour déterminer les impacts négatifs réels et potentiels liés à leurs propres activités et à leurs chaînes d’approvisionnement, et pour y répondre.</w:t>
      </w:r>
    </w:p>
    <w:p w14:paraId="193FF91E"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L’OCDE a élaboré cinq guides pour informer et aider les entreprises à mettre en œuvre des pratiques efficaces en matière de devoir de diligence et de CRE :</w:t>
      </w:r>
    </w:p>
    <w:p w14:paraId="4644BDDA" w14:textId="77777777" w:rsidR="005B55E7" w:rsidRPr="005B55E7" w:rsidRDefault="005B55E7" w:rsidP="005B55E7">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Guide de l’OCDE sur le devoir de diligence pour une conduite responsable des entreprises (2018</w:t>
      </w:r>
      <w:proofErr w:type="gramStart"/>
      <w:r w:rsidRPr="005B55E7">
        <w:rPr>
          <w:rFonts w:ascii="Noto Sans" w:eastAsia="Times New Roman" w:hAnsi="Noto Sans" w:cs="Noto Sans"/>
          <w:color w:val="333333"/>
          <w:kern w:val="0"/>
          <w:sz w:val="30"/>
          <w:szCs w:val="30"/>
          <w:lang w:eastAsia="fr-CM"/>
          <w14:ligatures w14:val="none"/>
        </w:rPr>
        <w:t>);</w:t>
      </w:r>
      <w:proofErr w:type="gramEnd"/>
    </w:p>
    <w:p w14:paraId="563438C0" w14:textId="77777777" w:rsidR="005B55E7" w:rsidRPr="005B55E7" w:rsidRDefault="005B55E7" w:rsidP="005B55E7">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Guide de l’OCDE sur devoir de diligence pour des chaînes d’approvisionnement responsables dans le secteur de l’habillement et de la chaussure (2017</w:t>
      </w:r>
      <w:proofErr w:type="gramStart"/>
      <w:r w:rsidRPr="005B55E7">
        <w:rPr>
          <w:rFonts w:ascii="Noto Sans" w:eastAsia="Times New Roman" w:hAnsi="Noto Sans" w:cs="Noto Sans"/>
          <w:color w:val="333333"/>
          <w:kern w:val="0"/>
          <w:sz w:val="30"/>
          <w:szCs w:val="30"/>
          <w:lang w:eastAsia="fr-CM"/>
          <w14:ligatures w14:val="none"/>
        </w:rPr>
        <w:t>);</w:t>
      </w:r>
      <w:proofErr w:type="gramEnd"/>
    </w:p>
    <w:p w14:paraId="2C71EE73" w14:textId="77777777" w:rsidR="005B55E7" w:rsidRPr="005B55E7" w:rsidRDefault="005B55E7" w:rsidP="005B55E7">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Guide OCDE-FAO pour des chaînes d’approvisionnement agricoles responsables (2016</w:t>
      </w:r>
      <w:proofErr w:type="gramStart"/>
      <w:r w:rsidRPr="005B55E7">
        <w:rPr>
          <w:rFonts w:ascii="Noto Sans" w:eastAsia="Times New Roman" w:hAnsi="Noto Sans" w:cs="Noto Sans"/>
          <w:color w:val="333333"/>
          <w:kern w:val="0"/>
          <w:sz w:val="30"/>
          <w:szCs w:val="30"/>
          <w:lang w:eastAsia="fr-CM"/>
          <w14:ligatures w14:val="none"/>
        </w:rPr>
        <w:t>);</w:t>
      </w:r>
      <w:proofErr w:type="gramEnd"/>
    </w:p>
    <w:p w14:paraId="29D57D4F" w14:textId="77777777" w:rsidR="005B55E7" w:rsidRPr="005B55E7" w:rsidRDefault="005B55E7" w:rsidP="005B55E7">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Guide sur le devoir de diligence pour un engagement constructif des parties prenantes dans le secteur extractif (2016</w:t>
      </w:r>
      <w:proofErr w:type="gramStart"/>
      <w:r w:rsidRPr="005B55E7">
        <w:rPr>
          <w:rFonts w:ascii="Noto Sans" w:eastAsia="Times New Roman" w:hAnsi="Noto Sans" w:cs="Noto Sans"/>
          <w:color w:val="333333"/>
          <w:kern w:val="0"/>
          <w:sz w:val="30"/>
          <w:szCs w:val="30"/>
          <w:lang w:eastAsia="fr-CM"/>
          <w14:ligatures w14:val="none"/>
        </w:rPr>
        <w:t>);</w:t>
      </w:r>
      <w:proofErr w:type="gramEnd"/>
    </w:p>
    <w:p w14:paraId="7E34F6C5" w14:textId="77777777" w:rsidR="005B55E7" w:rsidRPr="005B55E7" w:rsidRDefault="005B55E7" w:rsidP="005B55E7">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Guide sur le devoir de diligence pour des chaînes d’approvisionnement responsables en minerais provenant de zones de conflit ou à haut risque (2011).</w:t>
      </w:r>
    </w:p>
    <w:p w14:paraId="50EBD0D0"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Le </w:t>
      </w:r>
      <w:hyperlink r:id="rId5" w:history="1">
        <w:r w:rsidRPr="005B55E7">
          <w:rPr>
            <w:rFonts w:ascii="Noto Sans" w:eastAsia="Times New Roman" w:hAnsi="Noto Sans" w:cs="Noto Sans"/>
            <w:color w:val="284162"/>
            <w:kern w:val="0"/>
            <w:sz w:val="30"/>
            <w:szCs w:val="30"/>
            <w:u w:val="single"/>
            <w:lang w:eastAsia="fr-CM"/>
            <w14:ligatures w14:val="none"/>
          </w:rPr>
          <w:t>Guide de l’OCDE sur l’obligation de diligence pour une conduite responsable des entreprises</w:t>
        </w:r>
      </w:hyperlink>
      <w:r w:rsidRPr="005B55E7">
        <w:rPr>
          <w:rFonts w:ascii="Noto Sans" w:eastAsia="Times New Roman" w:hAnsi="Noto Sans" w:cs="Noto Sans"/>
          <w:color w:val="333333"/>
          <w:kern w:val="0"/>
          <w:sz w:val="30"/>
          <w:szCs w:val="30"/>
          <w:lang w:eastAsia="fr-CM"/>
          <w14:ligatures w14:val="none"/>
        </w:rPr>
        <w:t> (anglais seulement) :</w:t>
      </w:r>
    </w:p>
    <w:p w14:paraId="01B68F1D" w14:textId="77777777" w:rsidR="005B55E7" w:rsidRPr="005B55E7" w:rsidRDefault="005B55E7" w:rsidP="005B55E7">
      <w:pPr>
        <w:numPr>
          <w:ilvl w:val="0"/>
          <w:numId w:val="3"/>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fournit</w:t>
      </w:r>
      <w:proofErr w:type="gramEnd"/>
      <w:r w:rsidRPr="005B55E7">
        <w:rPr>
          <w:rFonts w:ascii="Noto Sans" w:eastAsia="Times New Roman" w:hAnsi="Noto Sans" w:cs="Noto Sans"/>
          <w:color w:val="333333"/>
          <w:kern w:val="0"/>
          <w:sz w:val="30"/>
          <w:szCs w:val="30"/>
          <w:lang w:eastAsia="fr-CM"/>
          <w14:ligatures w14:val="none"/>
        </w:rPr>
        <w:t xml:space="preserve"> un soutien aux entreprises multinationales pour la mise en œuvre des Principes directeurs de l’OCDE, grâce à </w:t>
      </w:r>
      <w:r w:rsidRPr="005B55E7">
        <w:rPr>
          <w:rFonts w:ascii="Noto Sans" w:eastAsia="Times New Roman" w:hAnsi="Noto Sans" w:cs="Noto Sans"/>
          <w:color w:val="333333"/>
          <w:kern w:val="0"/>
          <w:sz w:val="30"/>
          <w:szCs w:val="30"/>
          <w:lang w:eastAsia="fr-CM"/>
          <w14:ligatures w14:val="none"/>
        </w:rPr>
        <w:lastRenderedPageBreak/>
        <w:t>des explications en langage clair de ses recommandations en matière de diligence raisonnable et des dispositions associées;</w:t>
      </w:r>
    </w:p>
    <w:p w14:paraId="539CECF4" w14:textId="77777777" w:rsidR="005B55E7" w:rsidRPr="005B55E7" w:rsidRDefault="005B55E7" w:rsidP="005B55E7">
      <w:pPr>
        <w:numPr>
          <w:ilvl w:val="0"/>
          <w:numId w:val="3"/>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peut</w:t>
      </w:r>
      <w:proofErr w:type="gramEnd"/>
      <w:r w:rsidRPr="005B55E7">
        <w:rPr>
          <w:rFonts w:ascii="Noto Sans" w:eastAsia="Times New Roman" w:hAnsi="Noto Sans" w:cs="Noto Sans"/>
          <w:color w:val="333333"/>
          <w:kern w:val="0"/>
          <w:sz w:val="30"/>
          <w:szCs w:val="30"/>
          <w:lang w:eastAsia="fr-CM"/>
          <w14:ligatures w14:val="none"/>
        </w:rPr>
        <w:t xml:space="preserve"> également être utilisé par les entreprises pour répondre aux attentes en matière de devoir de diligence énoncées dans les Principes directeurs des Nations Unies relatifs aux entreprises et aux droits de l’homme et dans la Déclaration de principes tripartite de l’OIT sur les entreprises multinationales et la politique sociale.</w:t>
      </w:r>
    </w:p>
    <w:p w14:paraId="463B26EE"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 xml:space="preserve">Le cadre de devoir de </w:t>
      </w:r>
      <w:proofErr w:type="gramStart"/>
      <w:r w:rsidRPr="005B55E7">
        <w:rPr>
          <w:rFonts w:ascii="Noto Sans" w:eastAsia="Times New Roman" w:hAnsi="Noto Sans" w:cs="Noto Sans"/>
          <w:color w:val="333333"/>
          <w:kern w:val="0"/>
          <w:sz w:val="30"/>
          <w:szCs w:val="30"/>
          <w:lang w:eastAsia="fr-CM"/>
          <w14:ligatures w14:val="none"/>
        </w:rPr>
        <w:t>diligence défini</w:t>
      </w:r>
      <w:proofErr w:type="gramEnd"/>
      <w:r w:rsidRPr="005B55E7">
        <w:rPr>
          <w:rFonts w:ascii="Noto Sans" w:eastAsia="Times New Roman" w:hAnsi="Noto Sans" w:cs="Noto Sans"/>
          <w:color w:val="333333"/>
          <w:kern w:val="0"/>
          <w:sz w:val="30"/>
          <w:szCs w:val="30"/>
          <w:lang w:eastAsia="fr-CM"/>
          <w14:ligatures w14:val="none"/>
        </w:rPr>
        <w:t xml:space="preserve"> dans le Guide de l’OCDE sur le devoir de diligence pour une CRE énonce ce qui suit :</w:t>
      </w:r>
    </w:p>
    <w:p w14:paraId="66516495" w14:textId="77777777" w:rsidR="005B55E7" w:rsidRPr="005B55E7" w:rsidRDefault="005B55E7" w:rsidP="005B55E7">
      <w:pPr>
        <w:numPr>
          <w:ilvl w:val="0"/>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un</w:t>
      </w:r>
      <w:proofErr w:type="gramEnd"/>
      <w:r w:rsidRPr="005B55E7">
        <w:rPr>
          <w:rFonts w:ascii="Noto Sans" w:eastAsia="Times New Roman" w:hAnsi="Noto Sans" w:cs="Noto Sans"/>
          <w:color w:val="333333"/>
          <w:kern w:val="0"/>
          <w:sz w:val="30"/>
          <w:szCs w:val="30"/>
          <w:lang w:eastAsia="fr-CM"/>
          <w14:ligatures w14:val="none"/>
        </w:rPr>
        <w:t xml:space="preserve"> devoir de diligence efficace devrait être soutenue par des efforts visant à intégrer la CRE dans le processus de prise de décision et d’élaboration des politiques;</w:t>
      </w:r>
    </w:p>
    <w:p w14:paraId="5B8C8616" w14:textId="77777777" w:rsidR="005B55E7" w:rsidRPr="005B55E7" w:rsidRDefault="005B55E7" w:rsidP="005B55E7">
      <w:pPr>
        <w:numPr>
          <w:ilvl w:val="0"/>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les</w:t>
      </w:r>
      <w:proofErr w:type="gramEnd"/>
      <w:r w:rsidRPr="005B55E7">
        <w:rPr>
          <w:rFonts w:ascii="Noto Sans" w:eastAsia="Times New Roman" w:hAnsi="Noto Sans" w:cs="Noto Sans"/>
          <w:color w:val="333333"/>
          <w:kern w:val="0"/>
          <w:sz w:val="30"/>
          <w:szCs w:val="30"/>
          <w:lang w:eastAsia="fr-CM"/>
          <w14:ligatures w14:val="none"/>
        </w:rPr>
        <w:t xml:space="preserve"> entreprises doivent faire preuve de devoir de diligence raisonnable :</w:t>
      </w:r>
    </w:p>
    <w:p w14:paraId="3900F1A7" w14:textId="77777777" w:rsidR="005B55E7" w:rsidRPr="005B55E7" w:rsidRDefault="005B55E7" w:rsidP="005B55E7">
      <w:pPr>
        <w:numPr>
          <w:ilvl w:val="1"/>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en</w:t>
      </w:r>
      <w:proofErr w:type="gramEnd"/>
      <w:r w:rsidRPr="005B55E7">
        <w:rPr>
          <w:rFonts w:ascii="Noto Sans" w:eastAsia="Times New Roman" w:hAnsi="Noto Sans" w:cs="Noto Sans"/>
          <w:color w:val="333333"/>
          <w:kern w:val="0"/>
          <w:sz w:val="30"/>
          <w:szCs w:val="30"/>
          <w:lang w:eastAsia="fr-CM"/>
          <w14:ligatures w14:val="none"/>
        </w:rPr>
        <w:t xml:space="preserve"> cernant les impacts négatifs réels ou potentiels sur les questions relatives à la CRE;</w:t>
      </w:r>
    </w:p>
    <w:p w14:paraId="74437094" w14:textId="77777777" w:rsidR="005B55E7" w:rsidRPr="005B55E7" w:rsidRDefault="005B55E7" w:rsidP="005B55E7">
      <w:pPr>
        <w:numPr>
          <w:ilvl w:val="1"/>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en</w:t>
      </w:r>
      <w:proofErr w:type="gramEnd"/>
      <w:r w:rsidRPr="005B55E7">
        <w:rPr>
          <w:rFonts w:ascii="Noto Sans" w:eastAsia="Times New Roman" w:hAnsi="Noto Sans" w:cs="Noto Sans"/>
          <w:color w:val="333333"/>
          <w:kern w:val="0"/>
          <w:sz w:val="30"/>
          <w:szCs w:val="30"/>
          <w:lang w:eastAsia="fr-CM"/>
          <w14:ligatures w14:val="none"/>
        </w:rPr>
        <w:t xml:space="preserve"> arrêtant, en prévenant ou en atténuant ces impacts;</w:t>
      </w:r>
    </w:p>
    <w:p w14:paraId="5A42C098" w14:textId="77777777" w:rsidR="005B55E7" w:rsidRPr="005B55E7" w:rsidRDefault="005B55E7" w:rsidP="005B55E7">
      <w:pPr>
        <w:numPr>
          <w:ilvl w:val="1"/>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en</w:t>
      </w:r>
      <w:proofErr w:type="gramEnd"/>
      <w:r w:rsidRPr="005B55E7">
        <w:rPr>
          <w:rFonts w:ascii="Noto Sans" w:eastAsia="Times New Roman" w:hAnsi="Noto Sans" w:cs="Noto Sans"/>
          <w:color w:val="333333"/>
          <w:kern w:val="0"/>
          <w:sz w:val="30"/>
          <w:szCs w:val="30"/>
          <w:lang w:eastAsia="fr-CM"/>
          <w14:ligatures w14:val="none"/>
        </w:rPr>
        <w:t xml:space="preserve"> effectuant un suivi de la mise en œuvre et des résultats;</w:t>
      </w:r>
    </w:p>
    <w:p w14:paraId="4DE37789" w14:textId="77777777" w:rsidR="005B55E7" w:rsidRPr="005B55E7" w:rsidRDefault="005B55E7" w:rsidP="005B55E7">
      <w:pPr>
        <w:numPr>
          <w:ilvl w:val="1"/>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en</w:t>
      </w:r>
      <w:proofErr w:type="gramEnd"/>
      <w:r w:rsidRPr="005B55E7">
        <w:rPr>
          <w:rFonts w:ascii="Noto Sans" w:eastAsia="Times New Roman" w:hAnsi="Noto Sans" w:cs="Noto Sans"/>
          <w:color w:val="333333"/>
          <w:kern w:val="0"/>
          <w:sz w:val="30"/>
          <w:szCs w:val="30"/>
          <w:lang w:eastAsia="fr-CM"/>
          <w14:ligatures w14:val="none"/>
        </w:rPr>
        <w:t xml:space="preserve"> communiquant sur la manière dont les impacts sont traités;</w:t>
      </w:r>
    </w:p>
    <w:p w14:paraId="2A6DA753" w14:textId="77777777" w:rsidR="005B55E7" w:rsidRPr="005B55E7" w:rsidRDefault="005B55E7" w:rsidP="005B55E7">
      <w:pPr>
        <w:numPr>
          <w:ilvl w:val="0"/>
          <w:numId w:val="4"/>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proofErr w:type="gramStart"/>
      <w:r w:rsidRPr="005B55E7">
        <w:rPr>
          <w:rFonts w:ascii="Noto Sans" w:eastAsia="Times New Roman" w:hAnsi="Noto Sans" w:cs="Noto Sans"/>
          <w:color w:val="333333"/>
          <w:kern w:val="0"/>
          <w:sz w:val="30"/>
          <w:szCs w:val="30"/>
          <w:lang w:eastAsia="fr-CM"/>
          <w14:ligatures w14:val="none"/>
        </w:rPr>
        <w:t>le</w:t>
      </w:r>
      <w:proofErr w:type="gramEnd"/>
      <w:r w:rsidRPr="005B55E7">
        <w:rPr>
          <w:rFonts w:ascii="Noto Sans" w:eastAsia="Times New Roman" w:hAnsi="Noto Sans" w:cs="Noto Sans"/>
          <w:color w:val="333333"/>
          <w:kern w:val="0"/>
          <w:sz w:val="30"/>
          <w:szCs w:val="30"/>
          <w:lang w:eastAsia="fr-CM"/>
          <w14:ligatures w14:val="none"/>
        </w:rPr>
        <w:t xml:space="preserve"> processus de devoir de diligence vise à permettre aux entreprises de remédier aux impacts négatifs qu’elles causent ou auxquels elles contribuent.</w:t>
      </w:r>
    </w:p>
    <w:p w14:paraId="4BB8EBDA" w14:textId="77777777" w:rsidR="005B55E7" w:rsidRPr="005B55E7" w:rsidRDefault="005B55E7" w:rsidP="005B55E7">
      <w:pPr>
        <w:shd w:val="clear" w:color="auto" w:fill="FFFFFF"/>
        <w:spacing w:after="173" w:line="240" w:lineRule="auto"/>
        <w:rPr>
          <w:rFonts w:ascii="Noto Sans" w:eastAsia="Times New Roman" w:hAnsi="Noto Sans" w:cs="Noto Sans"/>
          <w:color w:val="333333"/>
          <w:kern w:val="0"/>
          <w:sz w:val="30"/>
          <w:szCs w:val="30"/>
          <w:lang w:eastAsia="fr-CM"/>
          <w14:ligatures w14:val="none"/>
        </w:rPr>
      </w:pPr>
      <w:r w:rsidRPr="005B55E7">
        <w:rPr>
          <w:rFonts w:ascii="Noto Sans" w:eastAsia="Times New Roman" w:hAnsi="Noto Sans" w:cs="Noto Sans"/>
          <w:color w:val="333333"/>
          <w:kern w:val="0"/>
          <w:sz w:val="30"/>
          <w:szCs w:val="30"/>
          <w:lang w:eastAsia="fr-CM"/>
          <w14:ligatures w14:val="none"/>
        </w:rPr>
        <w:t>L’OCDE a également élaboré des principes pour des contextes précis :</w:t>
      </w:r>
    </w:p>
    <w:p w14:paraId="103CD5BA" w14:textId="77777777" w:rsidR="005B55E7" w:rsidRPr="005B55E7" w:rsidRDefault="005B55E7" w:rsidP="005B55E7">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hyperlink r:id="rId6" w:history="1">
        <w:proofErr w:type="gramStart"/>
        <w:r w:rsidRPr="005B55E7">
          <w:rPr>
            <w:rFonts w:ascii="Noto Sans" w:eastAsia="Times New Roman" w:hAnsi="Noto Sans" w:cs="Noto Sans"/>
            <w:color w:val="0535D2"/>
            <w:kern w:val="0"/>
            <w:sz w:val="30"/>
            <w:szCs w:val="30"/>
            <w:u w:val="single"/>
            <w:lang w:eastAsia="fr-CM"/>
            <w14:ligatures w14:val="none"/>
          </w:rPr>
          <w:t>secteur</w:t>
        </w:r>
        <w:proofErr w:type="gramEnd"/>
        <w:r w:rsidRPr="005B55E7">
          <w:rPr>
            <w:rFonts w:ascii="Noto Sans" w:eastAsia="Times New Roman" w:hAnsi="Noto Sans" w:cs="Noto Sans"/>
            <w:color w:val="0535D2"/>
            <w:kern w:val="0"/>
            <w:sz w:val="30"/>
            <w:szCs w:val="30"/>
            <w:u w:val="single"/>
            <w:lang w:eastAsia="fr-CM"/>
            <w14:ligatures w14:val="none"/>
          </w:rPr>
          <w:t xml:space="preserve"> financier</w:t>
        </w:r>
      </w:hyperlink>
      <w:r w:rsidRPr="005B55E7">
        <w:rPr>
          <w:rFonts w:ascii="Noto Sans" w:eastAsia="Times New Roman" w:hAnsi="Noto Sans" w:cs="Noto Sans"/>
          <w:color w:val="333333"/>
          <w:kern w:val="0"/>
          <w:sz w:val="30"/>
          <w:szCs w:val="30"/>
          <w:lang w:eastAsia="fr-CM"/>
          <w14:ligatures w14:val="none"/>
        </w:rPr>
        <w:t> (anglais seulement);</w:t>
      </w:r>
    </w:p>
    <w:p w14:paraId="08DFF7A5" w14:textId="77777777" w:rsidR="005B55E7" w:rsidRPr="005B55E7" w:rsidRDefault="005B55E7" w:rsidP="005B55E7">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hyperlink r:id="rId7" w:history="1">
        <w:proofErr w:type="gramStart"/>
        <w:r w:rsidRPr="005B55E7">
          <w:rPr>
            <w:rFonts w:ascii="Noto Sans" w:eastAsia="Times New Roman" w:hAnsi="Noto Sans" w:cs="Noto Sans"/>
            <w:color w:val="284162"/>
            <w:kern w:val="0"/>
            <w:sz w:val="30"/>
            <w:szCs w:val="30"/>
            <w:u w:val="single"/>
            <w:lang w:eastAsia="fr-CM"/>
            <w14:ligatures w14:val="none"/>
          </w:rPr>
          <w:t>chaînes</w:t>
        </w:r>
        <w:proofErr w:type="gramEnd"/>
        <w:r w:rsidRPr="005B55E7">
          <w:rPr>
            <w:rFonts w:ascii="Noto Sans" w:eastAsia="Times New Roman" w:hAnsi="Noto Sans" w:cs="Noto Sans"/>
            <w:color w:val="284162"/>
            <w:kern w:val="0"/>
            <w:sz w:val="30"/>
            <w:szCs w:val="30"/>
            <w:u w:val="single"/>
            <w:lang w:eastAsia="fr-CM"/>
            <w14:ligatures w14:val="none"/>
          </w:rPr>
          <w:t xml:space="preserve"> d’approvisionnement en minéraux, y compris les minéraux de conflit</w:t>
        </w:r>
      </w:hyperlink>
      <w:r w:rsidRPr="005B55E7">
        <w:rPr>
          <w:rFonts w:ascii="Noto Sans" w:eastAsia="Times New Roman" w:hAnsi="Noto Sans" w:cs="Noto Sans"/>
          <w:color w:val="333333"/>
          <w:kern w:val="0"/>
          <w:sz w:val="30"/>
          <w:szCs w:val="30"/>
          <w:lang w:eastAsia="fr-CM"/>
          <w14:ligatures w14:val="none"/>
        </w:rPr>
        <w:t> (anglais seulement);</w:t>
      </w:r>
    </w:p>
    <w:p w14:paraId="132C3BD4" w14:textId="77777777" w:rsidR="005B55E7" w:rsidRPr="005B55E7" w:rsidRDefault="005B55E7" w:rsidP="005B55E7">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hyperlink r:id="rId8" w:history="1">
        <w:proofErr w:type="gramStart"/>
        <w:r w:rsidRPr="005B55E7">
          <w:rPr>
            <w:rFonts w:ascii="Noto Sans" w:eastAsia="Times New Roman" w:hAnsi="Noto Sans" w:cs="Noto Sans"/>
            <w:color w:val="284162"/>
            <w:kern w:val="0"/>
            <w:sz w:val="30"/>
            <w:szCs w:val="30"/>
            <w:u w:val="single"/>
            <w:lang w:eastAsia="fr-CM"/>
            <w14:ligatures w14:val="none"/>
          </w:rPr>
          <w:t>chaînes</w:t>
        </w:r>
        <w:proofErr w:type="gramEnd"/>
        <w:r w:rsidRPr="005B55E7">
          <w:rPr>
            <w:rFonts w:ascii="Noto Sans" w:eastAsia="Times New Roman" w:hAnsi="Noto Sans" w:cs="Noto Sans"/>
            <w:color w:val="284162"/>
            <w:kern w:val="0"/>
            <w:sz w:val="30"/>
            <w:szCs w:val="30"/>
            <w:u w:val="single"/>
            <w:lang w:eastAsia="fr-CM"/>
            <w14:ligatures w14:val="none"/>
          </w:rPr>
          <w:t xml:space="preserve"> d’approvisionnement agricoles</w:t>
        </w:r>
      </w:hyperlink>
      <w:r w:rsidRPr="005B55E7">
        <w:rPr>
          <w:rFonts w:ascii="Noto Sans" w:eastAsia="Times New Roman" w:hAnsi="Noto Sans" w:cs="Noto Sans"/>
          <w:color w:val="333333"/>
          <w:kern w:val="0"/>
          <w:sz w:val="30"/>
          <w:szCs w:val="30"/>
          <w:lang w:eastAsia="fr-CM"/>
          <w14:ligatures w14:val="none"/>
        </w:rPr>
        <w:t> (anglais seulement);</w:t>
      </w:r>
    </w:p>
    <w:p w14:paraId="22FFE10D" w14:textId="77777777" w:rsidR="005B55E7" w:rsidRPr="005B55E7" w:rsidRDefault="005B55E7" w:rsidP="005B55E7">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hyperlink r:id="rId9" w:history="1">
        <w:proofErr w:type="gramStart"/>
        <w:r w:rsidRPr="005B55E7">
          <w:rPr>
            <w:rFonts w:ascii="Noto Sans" w:eastAsia="Times New Roman" w:hAnsi="Noto Sans" w:cs="Noto Sans"/>
            <w:color w:val="284162"/>
            <w:kern w:val="0"/>
            <w:sz w:val="30"/>
            <w:szCs w:val="30"/>
            <w:u w:val="single"/>
            <w:lang w:eastAsia="fr-CM"/>
            <w14:ligatures w14:val="none"/>
          </w:rPr>
          <w:t>secteur</w:t>
        </w:r>
        <w:proofErr w:type="gramEnd"/>
        <w:r w:rsidRPr="005B55E7">
          <w:rPr>
            <w:rFonts w:ascii="Noto Sans" w:eastAsia="Times New Roman" w:hAnsi="Noto Sans" w:cs="Noto Sans"/>
            <w:color w:val="284162"/>
            <w:kern w:val="0"/>
            <w:sz w:val="30"/>
            <w:szCs w:val="30"/>
            <w:u w:val="single"/>
            <w:lang w:eastAsia="fr-CM"/>
            <w14:ligatures w14:val="none"/>
          </w:rPr>
          <w:t xml:space="preserve"> de l’habillement et de la chaussure</w:t>
        </w:r>
      </w:hyperlink>
      <w:r w:rsidRPr="005B55E7">
        <w:rPr>
          <w:rFonts w:ascii="Noto Sans" w:eastAsia="Times New Roman" w:hAnsi="Noto Sans" w:cs="Noto Sans"/>
          <w:color w:val="333333"/>
          <w:kern w:val="0"/>
          <w:sz w:val="30"/>
          <w:szCs w:val="30"/>
          <w:lang w:eastAsia="fr-CM"/>
          <w14:ligatures w14:val="none"/>
        </w:rPr>
        <w:t> (anglais seulement);</w:t>
      </w:r>
    </w:p>
    <w:p w14:paraId="4D696991" w14:textId="77777777" w:rsidR="005B55E7" w:rsidRPr="005B55E7" w:rsidRDefault="005B55E7" w:rsidP="005B55E7">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30"/>
          <w:szCs w:val="30"/>
          <w:lang w:eastAsia="fr-CM"/>
          <w14:ligatures w14:val="none"/>
        </w:rPr>
      </w:pPr>
      <w:hyperlink r:id="rId10" w:history="1">
        <w:proofErr w:type="gramStart"/>
        <w:r w:rsidRPr="005B55E7">
          <w:rPr>
            <w:rFonts w:ascii="Noto Sans" w:eastAsia="Times New Roman" w:hAnsi="Noto Sans" w:cs="Noto Sans"/>
            <w:color w:val="284162"/>
            <w:kern w:val="0"/>
            <w:sz w:val="30"/>
            <w:szCs w:val="30"/>
            <w:u w:val="single"/>
            <w:lang w:eastAsia="fr-CM"/>
            <w14:ligatures w14:val="none"/>
          </w:rPr>
          <w:t>engagement</w:t>
        </w:r>
        <w:proofErr w:type="gramEnd"/>
        <w:r w:rsidRPr="005B55E7">
          <w:rPr>
            <w:rFonts w:ascii="Noto Sans" w:eastAsia="Times New Roman" w:hAnsi="Noto Sans" w:cs="Noto Sans"/>
            <w:color w:val="284162"/>
            <w:kern w:val="0"/>
            <w:sz w:val="30"/>
            <w:szCs w:val="30"/>
            <w:u w:val="single"/>
            <w:lang w:eastAsia="fr-CM"/>
            <w14:ligatures w14:val="none"/>
          </w:rPr>
          <w:t xml:space="preserve"> des parties prenantes dans le secteur extractif</w:t>
        </w:r>
      </w:hyperlink>
      <w:r w:rsidRPr="005B55E7">
        <w:rPr>
          <w:rFonts w:ascii="Noto Sans" w:eastAsia="Times New Roman" w:hAnsi="Noto Sans" w:cs="Noto Sans"/>
          <w:color w:val="333333"/>
          <w:kern w:val="0"/>
          <w:sz w:val="30"/>
          <w:szCs w:val="30"/>
          <w:lang w:eastAsia="fr-CM"/>
          <w14:ligatures w14:val="none"/>
        </w:rPr>
        <w:t> (anglais seulement).</w:t>
      </w:r>
    </w:p>
    <w:p w14:paraId="120E63EF" w14:textId="77777777" w:rsidR="00C107CC" w:rsidRDefault="00C107CC"/>
    <w:sectPr w:rsidR="00C10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65AA2"/>
    <w:multiLevelType w:val="multilevel"/>
    <w:tmpl w:val="721A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43659D"/>
    <w:multiLevelType w:val="multilevel"/>
    <w:tmpl w:val="E6366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03686"/>
    <w:multiLevelType w:val="multilevel"/>
    <w:tmpl w:val="E65A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23E83"/>
    <w:multiLevelType w:val="multilevel"/>
    <w:tmpl w:val="EF5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B134E"/>
    <w:multiLevelType w:val="multilevel"/>
    <w:tmpl w:val="BB06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3818415">
    <w:abstractNumId w:val="3"/>
  </w:num>
  <w:num w:numId="2" w16cid:durableId="997030818">
    <w:abstractNumId w:val="2"/>
  </w:num>
  <w:num w:numId="3" w16cid:durableId="1486554454">
    <w:abstractNumId w:val="0"/>
  </w:num>
  <w:num w:numId="4" w16cid:durableId="1375470374">
    <w:abstractNumId w:val="1"/>
  </w:num>
  <w:num w:numId="5" w16cid:durableId="1757899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E7"/>
    <w:rsid w:val="005B55E7"/>
    <w:rsid w:val="008E67C6"/>
    <w:rsid w:val="00C107CC"/>
    <w:rsid w:val="00C2262B"/>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BBF5"/>
  <w15:chartTrackingRefBased/>
  <w15:docId w15:val="{FDEB2BB7-CD56-440A-A8B2-129B017A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5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5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5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5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5E7"/>
    <w:rPr>
      <w:rFonts w:eastAsiaTheme="majorEastAsia" w:cstheme="majorBidi"/>
      <w:color w:val="272727" w:themeColor="text1" w:themeTint="D8"/>
    </w:rPr>
  </w:style>
  <w:style w:type="paragraph" w:styleId="Title">
    <w:name w:val="Title"/>
    <w:basedOn w:val="Normal"/>
    <w:next w:val="Normal"/>
    <w:link w:val="TitleChar"/>
    <w:uiPriority w:val="10"/>
    <w:qFormat/>
    <w:rsid w:val="005B5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5E7"/>
    <w:pPr>
      <w:spacing w:before="160"/>
      <w:jc w:val="center"/>
    </w:pPr>
    <w:rPr>
      <w:i/>
      <w:iCs/>
      <w:color w:val="404040" w:themeColor="text1" w:themeTint="BF"/>
    </w:rPr>
  </w:style>
  <w:style w:type="character" w:customStyle="1" w:styleId="QuoteChar">
    <w:name w:val="Quote Char"/>
    <w:basedOn w:val="DefaultParagraphFont"/>
    <w:link w:val="Quote"/>
    <w:uiPriority w:val="29"/>
    <w:rsid w:val="005B55E7"/>
    <w:rPr>
      <w:i/>
      <w:iCs/>
      <w:color w:val="404040" w:themeColor="text1" w:themeTint="BF"/>
    </w:rPr>
  </w:style>
  <w:style w:type="paragraph" w:styleId="ListParagraph">
    <w:name w:val="List Paragraph"/>
    <w:basedOn w:val="Normal"/>
    <w:uiPriority w:val="34"/>
    <w:qFormat/>
    <w:rsid w:val="005B55E7"/>
    <w:pPr>
      <w:ind w:left="720"/>
      <w:contextualSpacing/>
    </w:pPr>
  </w:style>
  <w:style w:type="character" w:styleId="IntenseEmphasis">
    <w:name w:val="Intense Emphasis"/>
    <w:basedOn w:val="DefaultParagraphFont"/>
    <w:uiPriority w:val="21"/>
    <w:qFormat/>
    <w:rsid w:val="005B55E7"/>
    <w:rPr>
      <w:i/>
      <w:iCs/>
      <w:color w:val="2F5496" w:themeColor="accent1" w:themeShade="BF"/>
    </w:rPr>
  </w:style>
  <w:style w:type="paragraph" w:styleId="IntenseQuote">
    <w:name w:val="Intense Quote"/>
    <w:basedOn w:val="Normal"/>
    <w:next w:val="Normal"/>
    <w:link w:val="IntenseQuoteChar"/>
    <w:uiPriority w:val="30"/>
    <w:qFormat/>
    <w:rsid w:val="005B5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5E7"/>
    <w:rPr>
      <w:i/>
      <w:iCs/>
      <w:color w:val="2F5496" w:themeColor="accent1" w:themeShade="BF"/>
    </w:rPr>
  </w:style>
  <w:style w:type="character" w:styleId="IntenseReference">
    <w:name w:val="Intense Reference"/>
    <w:basedOn w:val="DefaultParagraphFont"/>
    <w:uiPriority w:val="32"/>
    <w:qFormat/>
    <w:rsid w:val="005B5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eguidelines.oecd.org/rbc-agriculture-supply-chains.htm" TargetMode="External"/><Relationship Id="rId3" Type="http://schemas.openxmlformats.org/officeDocument/2006/relationships/settings" Target="settings.xml"/><Relationship Id="rId7" Type="http://schemas.openxmlformats.org/officeDocument/2006/relationships/hyperlink" Target="http://mneguidelines.oecd.org/minin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eguidelines.oecd.org/rbc-financial-sector.htm" TargetMode="External"/><Relationship Id="rId11" Type="http://schemas.openxmlformats.org/officeDocument/2006/relationships/fontTable" Target="fontTable.xml"/><Relationship Id="rId5" Type="http://schemas.openxmlformats.org/officeDocument/2006/relationships/hyperlink" Target="https://mneguidelines.oecd.org/due-diligence-guidance-for-responsible-business-conduct.htm" TargetMode="External"/><Relationship Id="rId10" Type="http://schemas.openxmlformats.org/officeDocument/2006/relationships/hyperlink" Target="http://mneguidelines.oecd.org/stakeholder-engagement-extractive-industries.htm" TargetMode="External"/><Relationship Id="rId4" Type="http://schemas.openxmlformats.org/officeDocument/2006/relationships/webSettings" Target="webSettings.xml"/><Relationship Id="rId9" Type="http://schemas.openxmlformats.org/officeDocument/2006/relationships/hyperlink" Target="http://mneguidelines.oecd.org/responsible-supply-chains-textile-garment-sec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4191</Characters>
  <Application>Microsoft Office Word</Application>
  <DocSecurity>0</DocSecurity>
  <Lines>34</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Yoho</dc:creator>
  <cp:keywords/>
  <dc:description/>
  <cp:lastModifiedBy>Ralph Yoho</cp:lastModifiedBy>
  <cp:revision>1</cp:revision>
  <dcterms:created xsi:type="dcterms:W3CDTF">2025-03-13T10:45:00Z</dcterms:created>
  <dcterms:modified xsi:type="dcterms:W3CDTF">2025-03-13T10:46:00Z</dcterms:modified>
</cp:coreProperties>
</file>